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96"/>
        <w:tblW w:w="10881" w:type="dxa"/>
        <w:tblLook w:val="04A0" w:firstRow="1" w:lastRow="0" w:firstColumn="1" w:lastColumn="0" w:noHBand="0" w:noVBand="1"/>
      </w:tblPr>
      <w:tblGrid>
        <w:gridCol w:w="1180"/>
        <w:gridCol w:w="9701"/>
      </w:tblGrid>
      <w:tr w:rsidR="00B477EA" w:rsidRPr="00B477EA" w:rsidTr="008C1BD2">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b/>
                <w:bCs/>
                <w:sz w:val="24"/>
                <w:szCs w:val="24"/>
                <w:lang w:eastAsia="en-CA"/>
              </w:rPr>
            </w:pPr>
            <w:r w:rsidRPr="00B477EA">
              <w:rPr>
                <w:rFonts w:ascii="Arial" w:eastAsia="Times New Roman" w:hAnsi="Arial" w:cs="Arial"/>
                <w:b/>
                <w:bCs/>
                <w:sz w:val="24"/>
                <w:szCs w:val="24"/>
                <w:lang w:eastAsia="en-CA"/>
              </w:rPr>
              <w:t>Code</w:t>
            </w:r>
          </w:p>
        </w:tc>
        <w:tc>
          <w:tcPr>
            <w:tcW w:w="9701" w:type="dxa"/>
            <w:tcBorders>
              <w:top w:val="single" w:sz="4" w:space="0" w:color="auto"/>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b/>
                <w:bCs/>
                <w:sz w:val="24"/>
                <w:szCs w:val="24"/>
                <w:lang w:eastAsia="en-CA"/>
              </w:rPr>
            </w:pPr>
            <w:r w:rsidRPr="00B477EA">
              <w:rPr>
                <w:rFonts w:ascii="Arial" w:eastAsia="Times New Roman" w:hAnsi="Arial" w:cs="Arial"/>
                <w:b/>
                <w:bCs/>
                <w:sz w:val="24"/>
                <w:szCs w:val="24"/>
                <w:lang w:eastAsia="en-CA"/>
              </w:rPr>
              <w:t>Description</w:t>
            </w:r>
          </w:p>
        </w:tc>
      </w:tr>
      <w:tr w:rsidR="00B477EA" w:rsidRPr="00B477EA" w:rsidTr="008C1BD2">
        <w:trPr>
          <w:trHeight w:val="615"/>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Refer to the RRFA option in the Reporting section of F2R to view the description of this report's error message.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value entered does not correspond to any of the possible values for this field.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77</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field was not completed. It would only be required if the information for this field applied to the transaction being reported.</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value entered is not in FINTRAC's list of values for this field.</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value entered for this field does not provide what is required.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value entered for this field is inaccurate, based on the value shown in one or more other fields.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date for a disbursement cannot be earlier than September 28, 2009.</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304</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field cannot contain a future date.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report was not submitted within the time limit.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306</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report was submitted over a year after the transaction was conducted.</w:t>
            </w:r>
          </w:p>
        </w:tc>
      </w:tr>
      <w:tr w:rsidR="00B477EA" w:rsidRPr="00B477EA" w:rsidTr="008C1BD2">
        <w:trPr>
          <w:trHeight w:val="435"/>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307</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field should contain at least one numeric character.</w:t>
            </w:r>
          </w:p>
        </w:tc>
      </w:tr>
      <w:tr w:rsidR="00B477EA" w:rsidRPr="00B477EA" w:rsidTr="008C1BD2">
        <w:trPr>
          <w:trHeight w:val="435"/>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308</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date in this field is too far in the past.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309</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A provincial health card is not a valid identifier for the province indicated.</w:t>
            </w:r>
          </w:p>
        </w:tc>
      </w:tr>
      <w:tr w:rsidR="00B477EA" w:rsidRPr="00B477EA" w:rsidTr="008C1BD2">
        <w:trPr>
          <w:trHeight w:val="435"/>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There are over 10 reasons or methods of disbursement.</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reason for disbursement should have information about another individual (Part H) or another entity (Part I).</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reason for disbursement should have information about a casino account involved in the disbursement (Part G).</w:t>
            </w:r>
          </w:p>
        </w:tc>
      </w:tr>
      <w:tr w:rsidR="00B477EA" w:rsidRPr="00B477EA" w:rsidTr="008C1BD2">
        <w:trPr>
          <w:trHeight w:val="585"/>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reason for disbursement should have information about another entity involved in the disbursement (Part I).</w:t>
            </w:r>
          </w:p>
        </w:tc>
      </w:tr>
      <w:tr w:rsidR="00B477EA" w:rsidRPr="00B477EA" w:rsidTr="008C1BD2">
        <w:trPr>
          <w:trHeight w:val="72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314</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amount of the reason(s) for disbursement does not equal the amount of the method(s), although the currency codes are the same.</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amount of the reason(s) for disbursement equals the amount of the method(s), although the currency codes are different.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316</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amount of the reason(s) for disbursement was 0 and therefore is not reportable.</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317</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method of disbursement should have information about a casino account involved in the disbursement (Part G).</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318</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method of disbursement should have information about another individual involved in the disbursement (Part H) or another entity involved in the disbursement (Part I).</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319</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method of disbursement should have information about another entity involved in the disbursement (Part I).</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320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FINTRAC does not have this location on file for the reporting entity.</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321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method of disbursement should have information about another individual involved in the disbursement (Part H).</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322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reason for disbursement should have information about another individual involved in the disbursement (Part H).</w:t>
            </w:r>
          </w:p>
        </w:tc>
      </w:tr>
      <w:tr w:rsidR="00311D69"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311D69" w:rsidRPr="00B477EA" w:rsidRDefault="00311D69" w:rsidP="00B477EA">
            <w:pPr>
              <w:spacing w:after="0" w:line="240" w:lineRule="auto"/>
              <w:jc w:val="center"/>
              <w:rPr>
                <w:rFonts w:ascii="Arial" w:eastAsia="Times New Roman" w:hAnsi="Arial" w:cs="Arial"/>
                <w:sz w:val="24"/>
                <w:szCs w:val="24"/>
                <w:lang w:eastAsia="en-CA"/>
              </w:rPr>
            </w:pPr>
            <w:r>
              <w:rPr>
                <w:rFonts w:ascii="Arial" w:eastAsia="Times New Roman" w:hAnsi="Arial" w:cs="Arial"/>
                <w:sz w:val="24"/>
                <w:szCs w:val="24"/>
                <w:lang w:eastAsia="en-CA"/>
              </w:rPr>
              <w:lastRenderedPageBreak/>
              <w:t>323</w:t>
            </w:r>
          </w:p>
        </w:tc>
        <w:tc>
          <w:tcPr>
            <w:tcW w:w="9701" w:type="dxa"/>
            <w:tcBorders>
              <w:top w:val="nil"/>
              <w:left w:val="nil"/>
              <w:bottom w:val="single" w:sz="4" w:space="0" w:color="auto"/>
              <w:right w:val="single" w:sz="4" w:space="0" w:color="auto"/>
            </w:tcBorders>
            <w:shd w:val="clear" w:color="auto" w:fill="auto"/>
          </w:tcPr>
          <w:p w:rsidR="00311D69" w:rsidRPr="00B477EA" w:rsidRDefault="00311D69" w:rsidP="00B477EA">
            <w:pPr>
              <w:spacing w:after="0" w:line="240" w:lineRule="auto"/>
              <w:rPr>
                <w:rFonts w:ascii="Arial" w:eastAsia="Times New Roman" w:hAnsi="Arial" w:cs="Arial"/>
                <w:sz w:val="24"/>
                <w:szCs w:val="24"/>
                <w:lang w:eastAsia="en-CA"/>
              </w:rPr>
            </w:pPr>
            <w:r w:rsidRPr="00311D69">
              <w:rPr>
                <w:rFonts w:ascii="Arial" w:eastAsia="Times New Roman" w:hAnsi="Arial" w:cs="Arial"/>
                <w:sz w:val="24"/>
                <w:szCs w:val="24"/>
                <w:lang w:eastAsia="en-CA"/>
              </w:rPr>
              <w:t xml:space="preserve">The location is not in Canada and therefore </w:t>
            </w:r>
            <w:proofErr w:type="gramStart"/>
            <w:r w:rsidRPr="00311D69">
              <w:rPr>
                <w:rFonts w:ascii="Arial" w:eastAsia="Times New Roman" w:hAnsi="Arial" w:cs="Arial"/>
                <w:sz w:val="24"/>
                <w:szCs w:val="24"/>
                <w:lang w:eastAsia="en-CA"/>
              </w:rPr>
              <w:t>cannot be used</w:t>
            </w:r>
            <w:proofErr w:type="gramEnd"/>
            <w:r w:rsidRPr="00311D69">
              <w:rPr>
                <w:rFonts w:ascii="Arial" w:eastAsia="Times New Roman" w:hAnsi="Arial" w:cs="Arial"/>
                <w:sz w:val="24"/>
                <w:szCs w:val="24"/>
                <w:lang w:eastAsia="en-CA"/>
              </w:rPr>
              <w:t xml:space="preserve"> for reporting purposes.</w:t>
            </w:r>
          </w:p>
        </w:tc>
      </w:tr>
      <w:tr w:rsidR="002F00F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F00F8" w:rsidRPr="008C1BD2" w:rsidRDefault="008C1BD2" w:rsidP="008C1BD2">
            <w:pPr>
              <w:spacing w:after="0" w:line="240" w:lineRule="auto"/>
              <w:jc w:val="center"/>
              <w:rPr>
                <w:rFonts w:ascii="Arial" w:eastAsia="Times New Roman" w:hAnsi="Arial" w:cs="Arial"/>
                <w:sz w:val="24"/>
                <w:szCs w:val="24"/>
                <w:lang w:eastAsia="en-CA"/>
              </w:rPr>
            </w:pPr>
            <w:r w:rsidRPr="008C1BD2">
              <w:rPr>
                <w:rFonts w:ascii="Arial" w:eastAsia="Times New Roman" w:hAnsi="Arial" w:cs="Arial"/>
                <w:sz w:val="24"/>
                <w:szCs w:val="24"/>
                <w:lang w:eastAsia="en-CA"/>
              </w:rPr>
              <w:t>324</w:t>
            </w:r>
          </w:p>
        </w:tc>
        <w:tc>
          <w:tcPr>
            <w:tcW w:w="9701" w:type="dxa"/>
            <w:tcBorders>
              <w:top w:val="nil"/>
              <w:left w:val="nil"/>
              <w:bottom w:val="single" w:sz="4" w:space="0" w:color="auto"/>
              <w:right w:val="single" w:sz="4" w:space="0" w:color="auto"/>
            </w:tcBorders>
            <w:shd w:val="clear" w:color="auto" w:fill="auto"/>
          </w:tcPr>
          <w:p w:rsidR="002F00F8" w:rsidRPr="008C1BD2" w:rsidRDefault="008C1BD2" w:rsidP="008C1BD2">
            <w:pPr>
              <w:spacing w:after="0" w:line="240" w:lineRule="auto"/>
              <w:rPr>
                <w:rFonts w:ascii="Arial" w:eastAsia="Times New Roman" w:hAnsi="Arial" w:cs="Arial"/>
                <w:sz w:val="24"/>
                <w:szCs w:val="24"/>
                <w:lang w:eastAsia="en-CA"/>
              </w:rPr>
            </w:pPr>
            <w:r w:rsidRPr="008C1BD2">
              <w:rPr>
                <w:rFonts w:ascii="Arial" w:eastAsia="Times New Roman" w:hAnsi="Arial" w:cs="Arial"/>
                <w:sz w:val="24"/>
                <w:szCs w:val="24"/>
                <w:lang w:eastAsia="en-CA"/>
              </w:rPr>
              <w:t>FINTRAC does not have this contact on file for the reporting entity.</w:t>
            </w:r>
          </w:p>
        </w:tc>
      </w:tr>
      <w:tr w:rsidR="002C752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C7528" w:rsidRPr="008C1BD2" w:rsidRDefault="002C7528" w:rsidP="008C1BD2">
            <w:pPr>
              <w:spacing w:after="0" w:line="240" w:lineRule="auto"/>
              <w:jc w:val="center"/>
              <w:rPr>
                <w:rFonts w:ascii="Arial" w:eastAsia="Times New Roman" w:hAnsi="Arial" w:cs="Arial"/>
                <w:sz w:val="24"/>
                <w:szCs w:val="24"/>
                <w:lang w:eastAsia="en-CA"/>
              </w:rPr>
            </w:pPr>
            <w:r>
              <w:rPr>
                <w:rFonts w:ascii="Arial" w:eastAsia="Times New Roman" w:hAnsi="Arial" w:cs="Arial"/>
                <w:sz w:val="24"/>
                <w:szCs w:val="24"/>
                <w:lang w:eastAsia="en-CA"/>
              </w:rPr>
              <w:t>325</w:t>
            </w:r>
          </w:p>
        </w:tc>
        <w:tc>
          <w:tcPr>
            <w:tcW w:w="9701" w:type="dxa"/>
            <w:tcBorders>
              <w:top w:val="nil"/>
              <w:left w:val="nil"/>
              <w:bottom w:val="single" w:sz="4" w:space="0" w:color="auto"/>
              <w:right w:val="single" w:sz="4" w:space="0" w:color="auto"/>
            </w:tcBorders>
            <w:shd w:val="clear" w:color="auto" w:fill="auto"/>
          </w:tcPr>
          <w:p w:rsidR="002C7528" w:rsidRPr="008C1BD2" w:rsidRDefault="002C7528" w:rsidP="008C1BD2">
            <w:pPr>
              <w:spacing w:after="0" w:line="240" w:lineRule="auto"/>
              <w:rPr>
                <w:rFonts w:ascii="Arial" w:eastAsia="Times New Roman" w:hAnsi="Arial" w:cs="Arial"/>
                <w:sz w:val="24"/>
                <w:szCs w:val="24"/>
                <w:lang w:eastAsia="en-CA"/>
              </w:rPr>
            </w:pPr>
            <w:r w:rsidRPr="002C7528">
              <w:rPr>
                <w:rFonts w:ascii="Arial" w:eastAsia="Times New Roman" w:hAnsi="Arial" w:cs="Arial"/>
                <w:sz w:val="24"/>
                <w:szCs w:val="24"/>
                <w:lang w:eastAsia="en-CA"/>
              </w:rPr>
              <w:t xml:space="preserve">The date you have entered </w:t>
            </w:r>
            <w:proofErr w:type="gramStart"/>
            <w:r w:rsidRPr="002C7528">
              <w:rPr>
                <w:rFonts w:ascii="Arial" w:eastAsia="Times New Roman" w:hAnsi="Arial" w:cs="Arial"/>
                <w:sz w:val="24"/>
                <w:szCs w:val="24"/>
                <w:lang w:eastAsia="en-CA"/>
              </w:rPr>
              <w:t>is no longer supported</w:t>
            </w:r>
            <w:proofErr w:type="gramEnd"/>
            <w:r w:rsidRPr="002C7528">
              <w:rPr>
                <w:rFonts w:ascii="Arial" w:eastAsia="Times New Roman" w:hAnsi="Arial" w:cs="Arial"/>
                <w:sz w:val="24"/>
                <w:szCs w:val="24"/>
                <w:lang w:eastAsia="en-CA"/>
              </w:rPr>
              <w:t xml:space="preserve"> by this version of the report.</w:t>
            </w:r>
            <w:bookmarkStart w:id="0" w:name="_GoBack"/>
            <w:bookmarkEnd w:id="0"/>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329</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field is required but was not completed. You must provide the information for this field.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330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field was not completed, but is required based on the value entered elsewhere in the report.</w:t>
            </w:r>
          </w:p>
        </w:tc>
      </w:tr>
      <w:tr w:rsidR="002F00F8"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331</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 list cannot be empty, but is required based on the value entered elsewhere in the report.</w:t>
            </w:r>
          </w:p>
        </w:tc>
      </w:tr>
      <w:tr w:rsidR="002F00F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332</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 list must be within the specified size.</w:t>
            </w:r>
          </w:p>
        </w:tc>
      </w:tr>
      <w:tr w:rsidR="002F00F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333</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 list cannot be empty.</w:t>
            </w:r>
          </w:p>
        </w:tc>
      </w:tr>
      <w:tr w:rsidR="002F00F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334</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 total amount of the report is under the reporting threshold.</w:t>
            </w:r>
          </w:p>
        </w:tc>
      </w:tr>
      <w:tr w:rsidR="002F00F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335</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 date for this field cannot be before the Coming In Force date.</w:t>
            </w:r>
          </w:p>
        </w:tc>
      </w:tr>
      <w:tr w:rsidR="002F00F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336</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 number must be unique for the report.</w:t>
            </w:r>
          </w:p>
        </w:tc>
      </w:tr>
      <w:tr w:rsidR="002F00F8"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337</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There is no beneficiary provided for the transaction.</w:t>
            </w:r>
          </w:p>
        </w:tc>
      </w:tr>
      <w:tr w:rsidR="002F00F8"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338</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This field was not completed, but you must have taken reasonable measures to obtain conductor details.</w:t>
            </w:r>
          </w:p>
        </w:tc>
      </w:tr>
      <w:tr w:rsidR="002F00F8"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339</w:t>
            </w:r>
          </w:p>
        </w:tc>
        <w:tc>
          <w:tcPr>
            <w:tcW w:w="9701" w:type="dxa"/>
            <w:tcBorders>
              <w:top w:val="nil"/>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There is no receiving virtual currency address provided for the first completing action of the transaction.</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362</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information for this field was not provided in the correct format as shown in the detailed specification layout for this report type.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363</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value entered for this field is not a valid format for a Postal Code / Zip Code.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364</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field is not required based on the value shown in one or more other fields.</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365</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field was not completed.  It is required unless the individual identifier is a Social Insurance Number (SIN).</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366</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date in this field is inaccurate, based on the date shown in one or more other fields.</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367</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presence of an entry in this field conflicts with the presence of an entry in one or more other fields.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368</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field was not completed, but is required based on the transaction amount.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369</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date in this field is within 10 years of the report date.</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370</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An entry in this field is not permitted if the individual identifier is a Social Insurance Number (SIN).</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371</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entry in this field must be the full name.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372</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transaction amounts appear not to equal the disposition amounts.</w:t>
            </w:r>
          </w:p>
        </w:tc>
      </w:tr>
      <w:tr w:rsidR="00B477EA" w:rsidRPr="00B477EA" w:rsidTr="008C1BD2">
        <w:trPr>
          <w:trHeight w:val="9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373</w:t>
            </w:r>
          </w:p>
        </w:tc>
        <w:tc>
          <w:tcPr>
            <w:tcW w:w="9701" w:type="dxa"/>
            <w:tcBorders>
              <w:top w:val="nil"/>
              <w:left w:val="nil"/>
              <w:bottom w:val="nil"/>
              <w:right w:val="nil"/>
            </w:tcBorders>
            <w:shd w:val="clear" w:color="auto" w:fill="auto"/>
            <w:vAlign w:val="center"/>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Information should not be provided in this field based on regulatory changes that were implemented on June 17, 2017. Note that the entry will be deleted upon receipt as FINTRAC no longer has the authority to receive this information.</w:t>
            </w:r>
          </w:p>
        </w:tc>
      </w:tr>
      <w:tr w:rsidR="002F00F8"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tcPr>
          <w:p w:rsidR="002F00F8" w:rsidRPr="002F00F8" w:rsidRDefault="002F00F8" w:rsidP="002F00F8">
            <w:pPr>
              <w:spacing w:after="0" w:line="240" w:lineRule="auto"/>
              <w:jc w:val="center"/>
              <w:rPr>
                <w:rFonts w:ascii="Arial" w:eastAsia="Times New Roman" w:hAnsi="Arial" w:cs="Arial"/>
                <w:sz w:val="24"/>
                <w:szCs w:val="24"/>
                <w:lang w:eastAsia="en-CA"/>
              </w:rPr>
            </w:pPr>
            <w:r w:rsidRPr="002F00F8">
              <w:rPr>
                <w:rFonts w:ascii="Arial" w:eastAsia="Times New Roman" w:hAnsi="Arial" w:cs="Arial"/>
                <w:sz w:val="24"/>
                <w:szCs w:val="24"/>
                <w:lang w:eastAsia="en-CA"/>
              </w:rPr>
              <w:t>374</w:t>
            </w:r>
          </w:p>
        </w:tc>
        <w:tc>
          <w:tcPr>
            <w:tcW w:w="9701" w:type="dxa"/>
            <w:tcBorders>
              <w:top w:val="single" w:sz="4" w:space="0" w:color="auto"/>
              <w:left w:val="nil"/>
              <w:bottom w:val="single" w:sz="4" w:space="0" w:color="auto"/>
              <w:right w:val="single" w:sz="4" w:space="0" w:color="auto"/>
            </w:tcBorders>
            <w:shd w:val="clear" w:color="auto" w:fill="auto"/>
          </w:tcPr>
          <w:p w:rsidR="002F00F8" w:rsidRPr="002F00F8" w:rsidRDefault="002F00F8" w:rsidP="002F00F8">
            <w:pPr>
              <w:spacing w:after="0" w:line="240" w:lineRule="auto"/>
              <w:rPr>
                <w:rFonts w:ascii="Arial" w:eastAsia="Times New Roman" w:hAnsi="Arial" w:cs="Arial"/>
                <w:sz w:val="24"/>
                <w:szCs w:val="24"/>
                <w:lang w:eastAsia="en-CA"/>
              </w:rPr>
            </w:pPr>
            <w:r w:rsidRPr="002F00F8">
              <w:rPr>
                <w:rFonts w:ascii="Arial" w:eastAsia="Times New Roman" w:hAnsi="Arial" w:cs="Arial"/>
                <w:sz w:val="24"/>
                <w:szCs w:val="24"/>
                <w:lang w:eastAsia="en-CA"/>
              </w:rPr>
              <w:t xml:space="preserve">Information </w:t>
            </w:r>
            <w:proofErr w:type="gramStart"/>
            <w:r w:rsidRPr="002F00F8">
              <w:rPr>
                <w:rFonts w:ascii="Arial" w:eastAsia="Times New Roman" w:hAnsi="Arial" w:cs="Arial"/>
                <w:sz w:val="24"/>
                <w:szCs w:val="24"/>
                <w:lang w:eastAsia="en-CA"/>
              </w:rPr>
              <w:t>should not be provided</w:t>
            </w:r>
            <w:proofErr w:type="gramEnd"/>
            <w:r w:rsidRPr="002F00F8">
              <w:rPr>
                <w:rFonts w:ascii="Arial" w:eastAsia="Times New Roman" w:hAnsi="Arial" w:cs="Arial"/>
                <w:sz w:val="24"/>
                <w:szCs w:val="24"/>
                <w:lang w:eastAsia="en-CA"/>
              </w:rPr>
              <w:t xml:space="preserve"> in this field based on regulatory changes that were implemented on June 1, 2021. Note that the entry will be deleted upon </w:t>
            </w:r>
            <w:proofErr w:type="gramStart"/>
            <w:r w:rsidRPr="002F00F8">
              <w:rPr>
                <w:rFonts w:ascii="Arial" w:eastAsia="Times New Roman" w:hAnsi="Arial" w:cs="Arial"/>
                <w:sz w:val="24"/>
                <w:szCs w:val="24"/>
                <w:lang w:eastAsia="en-CA"/>
              </w:rPr>
              <w:t>receipt</w:t>
            </w:r>
            <w:proofErr w:type="gramEnd"/>
            <w:r w:rsidRPr="002F00F8">
              <w:rPr>
                <w:rFonts w:ascii="Arial" w:eastAsia="Times New Roman" w:hAnsi="Arial" w:cs="Arial"/>
                <w:sz w:val="24"/>
                <w:szCs w:val="24"/>
                <w:lang w:eastAsia="en-CA"/>
              </w:rPr>
              <w:t xml:space="preserve"> as FINTRAC no longer has the authority to receive this information.</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400</w:t>
            </w:r>
          </w:p>
        </w:tc>
        <w:tc>
          <w:tcPr>
            <w:tcW w:w="9701" w:type="dxa"/>
            <w:tcBorders>
              <w:top w:val="single" w:sz="4" w:space="0" w:color="auto"/>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A report part was not the correct length according to the detailed specification layout for that type of report.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lastRenderedPageBreak/>
              <w:t>401</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A tag, header or line was not the correct length according to the detailed batch specification SWIFT EFT reports.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403</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batch trailer was not the correct length according to format specifications.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404</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organization is not authorized to send production reports by batch for this report type. FINTRAC was unable to process the batch.</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405</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file name for the batch was not valid according to the batch file-naming standard.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406</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file contained more reports than the maximum allowable.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407</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batch type in the batch header did not match the action code for one or more reports.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408</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A field was not in the proper character format (i.e., letters were found where numbers were required).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409</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Contact information was missing from the batch header.</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410</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organization is not authorized to send reports by batch. FINTRAC was unable to process the batch any further.</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412</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file name for the batch has already been used for the reporting entity. FINTRAC was unable to process the batch any further.</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413</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parts within a report or the batch trailer were not presented in the proper sequence.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414</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A report contained more than the maximum 99 transactions.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415</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A report contained more than the maximum 30 dispositions per transaction.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416</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reporting entity’s identifier number entered in the batch header is not associated with the PKI certificate ID used to transmit the batch.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417</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organisation is submitting a report on behalf of a reporting entity, but FINTRAC's records do not indicate that the organization is authorized to do so.</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418</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report to be added is one that FINTRAC has already received and processed.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419</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831A9" w:rsidP="00B831A9">
            <w:pPr>
              <w:spacing w:after="0" w:line="240" w:lineRule="auto"/>
              <w:rPr>
                <w:rFonts w:ascii="Arial" w:eastAsia="Times New Roman" w:hAnsi="Arial" w:cs="Arial"/>
                <w:sz w:val="24"/>
                <w:szCs w:val="24"/>
                <w:lang w:eastAsia="en-CA"/>
              </w:rPr>
            </w:pPr>
            <w:r w:rsidRPr="00B831A9">
              <w:rPr>
                <w:rFonts w:ascii="Arial" w:eastAsia="Times New Roman" w:hAnsi="Arial" w:cs="Arial"/>
                <w:sz w:val="24"/>
                <w:szCs w:val="24"/>
                <w:lang w:eastAsia="en-CA"/>
              </w:rPr>
              <w:t>The report you wish to change or delete either does not exist, is no longer active since it</w:t>
            </w:r>
            <w:r>
              <w:rPr>
                <w:rFonts w:ascii="Arial" w:eastAsia="Times New Roman" w:hAnsi="Arial" w:cs="Arial"/>
                <w:sz w:val="24"/>
                <w:szCs w:val="24"/>
                <w:lang w:eastAsia="en-CA"/>
              </w:rPr>
              <w:t xml:space="preserve"> </w:t>
            </w:r>
            <w:proofErr w:type="gramStart"/>
            <w:r w:rsidRPr="00B831A9">
              <w:rPr>
                <w:rFonts w:ascii="Arial" w:eastAsia="Times New Roman" w:hAnsi="Arial" w:cs="Arial"/>
                <w:sz w:val="24"/>
                <w:szCs w:val="24"/>
                <w:lang w:eastAsia="en-CA"/>
              </w:rPr>
              <w:t>was submitted</w:t>
            </w:r>
            <w:proofErr w:type="gramEnd"/>
            <w:r w:rsidRPr="00B831A9">
              <w:rPr>
                <w:rFonts w:ascii="Arial" w:eastAsia="Times New Roman" w:hAnsi="Arial" w:cs="Arial"/>
                <w:sz w:val="24"/>
                <w:szCs w:val="24"/>
                <w:lang w:eastAsia="en-CA"/>
              </w:rPr>
              <w:t xml:space="preserve"> over 7 years ago or has already been deleted/segregated. Please contact FINTRAC for more information.</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420</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format indicated in the batch header was other than version "03" (for a batch of LCTRs, EFTOs or EFTIs) or other than version "04" (for a batch of STRs).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421</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batch sub-header was not valid according to the batch format specifications.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422</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report sequence number or batch sub-header sequence was not valid.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423</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part sequence number for a transaction in the report was not valid.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424</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part sequence number for a disposition within a transaction in the report was not valid.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425</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A line with less than two characters was found in the file.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427</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batch file was empty.</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428</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There were too many lines in a SWIFT report without a tag.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429</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sub-header count in the batch header does not match the actual number of sub-headers in the file.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430</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sub-header report count in the batch sub-header does not match the actual number of reports in the sub-header.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lastRenderedPageBreak/>
              <w:t>431</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file could not be processed as the standard file characteristics were other than ASCII code page 850 (Western European).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432</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operational mode in the batch header does not match the channel used to transmit the batch.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433</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report type in the batch file does not match the report type for the channel used to transmit the batch.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434</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batch header has an invalid batch date or batch time.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435</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PKI certificate identifier number in the batch header does not match the one used to transmit the batch.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436</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One or more reports in the batch did not have a valid reporting entity report reference number.</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437</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batch trailer is invalid.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438</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report count in the batch header or batch sub-header does not match the actual number of reports in the file.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439</w:t>
            </w:r>
          </w:p>
        </w:tc>
        <w:tc>
          <w:tcPr>
            <w:tcW w:w="9701" w:type="dxa"/>
            <w:tcBorders>
              <w:top w:val="nil"/>
              <w:left w:val="nil"/>
              <w:bottom w:val="single" w:sz="4" w:space="0" w:color="auto"/>
              <w:right w:val="single" w:sz="4" w:space="0" w:color="auto"/>
            </w:tcBorders>
            <w:shd w:val="clear" w:color="auto" w:fill="auto"/>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file contained invalid control or null character(s).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440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action code is incorrect.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441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file sent does not conform to the XML schema.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442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data entered in this field is either longer or shorter than the format requirements as detailed in the batch specifications.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443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A report contained no transactions.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445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XML header is either missing or incorrect.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file is not a valid XML file.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XML file does not match the XML schema definition.</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file name for the batch has already been used by the organization.</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file name contained in the file header does not match the actual file name.</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604</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organization in the header is not the same as the organization authorized to submit files through this channel.</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agent count contained in the file trailer does not match file agent count.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606</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location count contained in the file trailer does not match the file’s location count.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607</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agent/mandatary to be added already exists.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608</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agent/mandatary location to be added already exists.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609</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branch to be added already exists.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agent/mandatary to be updated or deleted does not exist.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agent/mandatary location to be updated or deleted does not exist.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branch to be updated does not exist.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data element/component to be added already exists.</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614</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data element/component to be updated or deleted does not exist.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length or format of this data element is invalid.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616</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minimum number of occurrences for this data element/component has not been provided or the maximum number of occurrences expected has been exceeded.</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617</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data element value that has been provided is not one of accepted list of values.</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lastRenderedPageBreak/>
              <w:t>618</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data element/component is required but was not completed.  Information for this data element/component must be provided.</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619</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Multiple main locations have been specified for same agent/mandatary.</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620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Duplicate external agent identifiers exist within this file.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621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Duplicate external location identifiers exist for the same agent/mandatary within this file.</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622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Duplicate external location identifiers exist within this file.</w:t>
            </w:r>
          </w:p>
        </w:tc>
      </w:tr>
      <w:tr w:rsidR="00B477EA" w:rsidRPr="00B477EA" w:rsidTr="008C1BD2">
        <w:trPr>
          <w:trHeight w:val="66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623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action code selected for this data element conflicts with the action code for the data component.</w:t>
            </w:r>
          </w:p>
        </w:tc>
      </w:tr>
      <w:tr w:rsidR="00B477EA" w:rsidRPr="00B477EA" w:rsidTr="008C1BD2">
        <w:trPr>
          <w:trHeight w:val="57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624</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Agent legal name (business or individual) and agent main location are mandatory for the insert of an agent/mandatary.</w:t>
            </w:r>
          </w:p>
        </w:tc>
      </w:tr>
      <w:tr w:rsidR="00B477EA" w:rsidRPr="00B477EA" w:rsidTr="008C1BD2">
        <w:trPr>
          <w:trHeight w:val="555"/>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625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A mandatory data element/component was deleted.</w:t>
            </w:r>
          </w:p>
        </w:tc>
      </w:tr>
      <w:tr w:rsidR="00B477EA" w:rsidRPr="00B477EA" w:rsidTr="008C1BD2">
        <w:trPr>
          <w:trHeight w:val="66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801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WARNING: This location is being by-passed because the location to be inserted is inactive.</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802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WARNING: This location is being by-passed because the location to be deleted does not exist.</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803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WARNING: This location is being by-passed because a more recent update has been entered online.</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976</w:t>
            </w:r>
          </w:p>
        </w:tc>
        <w:tc>
          <w:tcPr>
            <w:tcW w:w="9701" w:type="dxa"/>
            <w:tcBorders>
              <w:top w:val="nil"/>
              <w:left w:val="nil"/>
              <w:bottom w:val="nil"/>
              <w:right w:val="nil"/>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A Request for change cannot be made to this report, please communicate with FINTRAC for more details at F2R@FINTRAC-CANAFE.gc.ca</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977</w:t>
            </w:r>
          </w:p>
        </w:tc>
        <w:tc>
          <w:tcPr>
            <w:tcW w:w="9701" w:type="dxa"/>
            <w:tcBorders>
              <w:top w:val="single" w:sz="4" w:space="0" w:color="auto"/>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A request for change cannot be made to a report submitted more than 7 years ago.</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978</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reason for disbursement total is under $10,000 and therefore not reportable, unless the 24-hour rule applied.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979</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Total reason of disbursement appears to be under $10,000 and therefore not reportable, unless the 24-hour rule applied.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980</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One or more transactions in this report are of $10,000 or more and therefore should be reported separately.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981</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One or more transactions in this report appear to be of $10,000 or more and therefore should be reported separately.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982</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total of reasons of disbursement in this report is less than $10,000 and therefore not reportable.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983</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total of reasons of disbursement in this report appears to be less than $10,000 and not reportable.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984</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total of methods of disbursement in this report is less than $10,000 and therefore not reportable. </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 xml:space="preserve">The total of methods of disbursement in this report appears to be less than $10,000 and not reportable. </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986</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Only one transaction was included but the report indicates that the 24-hour rule applies.</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987</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Multiple transactions were included but the report indicates that the 24-hour rule does not apply.</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988</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method of disbursement total is under $10,000 and therefore not reportable, unless the 24-hour rule applied.</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lastRenderedPageBreak/>
              <w:t>989</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Total method of disbursement appears to be under $10,000 and not reportable, unless the 24-hour rule applied.</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994</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transaction amount is over the threshold for the 24-hour rule to apply.</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995</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There is no indication that the 24-hour rule applies, therefore there should only be one transaction in this report.</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996</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amount in foreign currency appears to be over the threshold for the 24-hour rule to apply.</w:t>
            </w:r>
          </w:p>
        </w:tc>
      </w:tr>
      <w:tr w:rsidR="00B477EA" w:rsidRPr="00B477EA" w:rsidTr="008C1BD2">
        <w:trPr>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997</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This number must be unique for the reporting entity.</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998</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amount in foreign currency appears under the reporting threshold (there is no indication of 24-hour rule applying).</w:t>
            </w:r>
          </w:p>
        </w:tc>
      </w:tr>
      <w:tr w:rsidR="00B477EA" w:rsidRPr="00B477EA" w:rsidTr="008C1BD2">
        <w:trPr>
          <w:trHeight w:val="600"/>
        </w:trPr>
        <w:tc>
          <w:tcPr>
            <w:tcW w:w="1180" w:type="dxa"/>
            <w:tcBorders>
              <w:top w:val="nil"/>
              <w:left w:val="single" w:sz="4" w:space="0" w:color="auto"/>
              <w:bottom w:val="single" w:sz="4" w:space="0" w:color="auto"/>
              <w:right w:val="single" w:sz="4" w:space="0" w:color="auto"/>
            </w:tcBorders>
            <w:shd w:val="clear" w:color="auto" w:fill="auto"/>
            <w:hideMark/>
          </w:tcPr>
          <w:p w:rsidR="00B477EA" w:rsidRPr="00B477EA" w:rsidRDefault="00B477EA" w:rsidP="00B477EA">
            <w:pPr>
              <w:spacing w:after="0" w:line="240" w:lineRule="auto"/>
              <w:jc w:val="center"/>
              <w:rPr>
                <w:rFonts w:ascii="Arial" w:eastAsia="Times New Roman" w:hAnsi="Arial" w:cs="Arial"/>
                <w:sz w:val="24"/>
                <w:szCs w:val="24"/>
                <w:lang w:eastAsia="en-CA"/>
              </w:rPr>
            </w:pPr>
            <w:r w:rsidRPr="00B477EA">
              <w:rPr>
                <w:rFonts w:ascii="Arial" w:eastAsia="Times New Roman" w:hAnsi="Arial" w:cs="Arial"/>
                <w:sz w:val="24"/>
                <w:szCs w:val="24"/>
                <w:lang w:eastAsia="en-CA"/>
              </w:rPr>
              <w:t>999</w:t>
            </w:r>
          </w:p>
        </w:tc>
        <w:tc>
          <w:tcPr>
            <w:tcW w:w="9701" w:type="dxa"/>
            <w:tcBorders>
              <w:top w:val="nil"/>
              <w:left w:val="nil"/>
              <w:bottom w:val="single" w:sz="4" w:space="0" w:color="auto"/>
              <w:right w:val="single" w:sz="4" w:space="0" w:color="auto"/>
            </w:tcBorders>
            <w:shd w:val="clear" w:color="auto" w:fill="auto"/>
            <w:vAlign w:val="bottom"/>
            <w:hideMark/>
          </w:tcPr>
          <w:p w:rsidR="00B477EA" w:rsidRPr="00B477EA" w:rsidRDefault="00B477EA" w:rsidP="00B477EA">
            <w:pPr>
              <w:spacing w:after="0" w:line="240" w:lineRule="auto"/>
              <w:rPr>
                <w:rFonts w:ascii="Arial" w:eastAsia="Times New Roman" w:hAnsi="Arial" w:cs="Arial"/>
                <w:sz w:val="24"/>
                <w:szCs w:val="24"/>
                <w:lang w:eastAsia="en-CA"/>
              </w:rPr>
            </w:pPr>
            <w:r w:rsidRPr="00B477EA">
              <w:rPr>
                <w:rFonts w:ascii="Arial" w:eastAsia="Times New Roman" w:hAnsi="Arial" w:cs="Arial"/>
                <w:sz w:val="24"/>
                <w:szCs w:val="24"/>
                <w:lang w:eastAsia="en-CA"/>
              </w:rPr>
              <w:t>The transaction amount is under the reporting threshold (there is no indication that the 24-hour rule applies).</w:t>
            </w:r>
          </w:p>
        </w:tc>
      </w:tr>
    </w:tbl>
    <w:p w:rsidR="004B6F7B" w:rsidRDefault="004B6F7B"/>
    <w:sectPr w:rsidR="004B6F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EE"/>
    <w:rsid w:val="002C7528"/>
    <w:rsid w:val="002F00F8"/>
    <w:rsid w:val="00311D69"/>
    <w:rsid w:val="004B6F7B"/>
    <w:rsid w:val="00673D1E"/>
    <w:rsid w:val="007D0DEE"/>
    <w:rsid w:val="008C1BD2"/>
    <w:rsid w:val="00B1099D"/>
    <w:rsid w:val="00B477EA"/>
    <w:rsid w:val="00B83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A075"/>
  <w15:docId w15:val="{A767DA12-0273-4F9B-8C12-9C46C128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4633">
      <w:bodyDiv w:val="1"/>
      <w:marLeft w:val="0"/>
      <w:marRight w:val="0"/>
      <w:marTop w:val="0"/>
      <w:marBottom w:val="0"/>
      <w:divBdr>
        <w:top w:val="none" w:sz="0" w:space="0" w:color="auto"/>
        <w:left w:val="none" w:sz="0" w:space="0" w:color="auto"/>
        <w:bottom w:val="none" w:sz="0" w:space="0" w:color="auto"/>
        <w:right w:val="none" w:sz="0" w:space="0" w:color="auto"/>
      </w:divBdr>
    </w:div>
    <w:div w:id="1060439005">
      <w:bodyDiv w:val="1"/>
      <w:marLeft w:val="0"/>
      <w:marRight w:val="0"/>
      <w:marTop w:val="0"/>
      <w:marBottom w:val="0"/>
      <w:divBdr>
        <w:top w:val="none" w:sz="0" w:space="0" w:color="auto"/>
        <w:left w:val="none" w:sz="0" w:space="0" w:color="auto"/>
        <w:bottom w:val="none" w:sz="0" w:space="0" w:color="auto"/>
        <w:right w:val="none" w:sz="0" w:space="0" w:color="auto"/>
      </w:divBdr>
    </w:div>
    <w:div w:id="1190752562">
      <w:bodyDiv w:val="1"/>
      <w:marLeft w:val="0"/>
      <w:marRight w:val="0"/>
      <w:marTop w:val="0"/>
      <w:marBottom w:val="0"/>
      <w:divBdr>
        <w:top w:val="none" w:sz="0" w:space="0" w:color="auto"/>
        <w:left w:val="none" w:sz="0" w:space="0" w:color="auto"/>
        <w:bottom w:val="none" w:sz="0" w:space="0" w:color="auto"/>
        <w:right w:val="none" w:sz="0" w:space="0" w:color="auto"/>
      </w:divBdr>
    </w:div>
    <w:div w:id="1270433060">
      <w:bodyDiv w:val="1"/>
      <w:marLeft w:val="0"/>
      <w:marRight w:val="0"/>
      <w:marTop w:val="0"/>
      <w:marBottom w:val="0"/>
      <w:divBdr>
        <w:top w:val="none" w:sz="0" w:space="0" w:color="auto"/>
        <w:left w:val="none" w:sz="0" w:space="0" w:color="auto"/>
        <w:bottom w:val="none" w:sz="0" w:space="0" w:color="auto"/>
        <w:right w:val="none" w:sz="0" w:space="0" w:color="auto"/>
      </w:divBdr>
    </w:div>
    <w:div w:id="1370642884">
      <w:bodyDiv w:val="1"/>
      <w:marLeft w:val="0"/>
      <w:marRight w:val="0"/>
      <w:marTop w:val="0"/>
      <w:marBottom w:val="0"/>
      <w:divBdr>
        <w:top w:val="none" w:sz="0" w:space="0" w:color="auto"/>
        <w:left w:val="none" w:sz="0" w:space="0" w:color="auto"/>
        <w:bottom w:val="none" w:sz="0" w:space="0" w:color="auto"/>
        <w:right w:val="none" w:sz="0" w:space="0" w:color="auto"/>
      </w:divBdr>
    </w:div>
    <w:div w:id="1604411221">
      <w:bodyDiv w:val="1"/>
      <w:marLeft w:val="0"/>
      <w:marRight w:val="0"/>
      <w:marTop w:val="0"/>
      <w:marBottom w:val="0"/>
      <w:divBdr>
        <w:top w:val="none" w:sz="0" w:space="0" w:color="auto"/>
        <w:left w:val="none" w:sz="0" w:space="0" w:color="auto"/>
        <w:bottom w:val="none" w:sz="0" w:space="0" w:color="auto"/>
        <w:right w:val="none" w:sz="0" w:space="0" w:color="auto"/>
      </w:divBdr>
    </w:div>
    <w:div w:id="1642729864">
      <w:bodyDiv w:val="1"/>
      <w:marLeft w:val="0"/>
      <w:marRight w:val="0"/>
      <w:marTop w:val="0"/>
      <w:marBottom w:val="0"/>
      <w:divBdr>
        <w:top w:val="none" w:sz="0" w:space="0" w:color="auto"/>
        <w:left w:val="none" w:sz="0" w:space="0" w:color="auto"/>
        <w:bottom w:val="none" w:sz="0" w:space="0" w:color="auto"/>
        <w:right w:val="none" w:sz="0" w:space="0" w:color="auto"/>
      </w:divBdr>
    </w:div>
    <w:div w:id="17012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290F-AFAD-47A8-8FEB-48B650F6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Fintrac-Canafe</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Chiasson, Stephane</dc:creator>
  <cp:keywords/>
  <dc:description/>
  <cp:lastModifiedBy>Chiasson, Stephane (FINTRAC/CANAFE)</cp:lastModifiedBy>
  <cp:revision>8</cp:revision>
  <dcterms:created xsi:type="dcterms:W3CDTF">2014-05-29T14:43:00Z</dcterms:created>
  <dcterms:modified xsi:type="dcterms:W3CDTF">2023-10-20T15:09:00Z</dcterms:modified>
</cp:coreProperties>
</file>